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20" w:lineRule="exac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关于开展20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年度招标代理机构</w:t>
      </w:r>
    </w:p>
    <w:p>
      <w:pPr>
        <w:adjustRightInd/>
        <w:snapToGrid/>
        <w:spacing w:after="0" w:line="520" w:lineRule="exac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考核工作的通知</w:t>
      </w:r>
    </w:p>
    <w:p>
      <w:pPr>
        <w:adjustRightInd/>
        <w:snapToGrid/>
        <w:spacing w:after="0" w:line="520" w:lineRule="exact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adjustRightInd/>
        <w:snapToGrid/>
        <w:spacing w:after="0" w:line="5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各招标代理机构：</w:t>
      </w:r>
    </w:p>
    <w:p>
      <w:pPr>
        <w:spacing w:after="0" w:line="52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为进一步加强对招标代理机构的监督管理，规范招标代理机构的执业行为，提高招标代理机构的工作质量、工作效率和服务水平，依据</w:t>
      </w:r>
      <w:r>
        <w:rPr>
          <w:rFonts w:ascii="宋体" w:hAnsi="宋体" w:eastAsia="宋体" w:cs="宋体"/>
          <w:color w:val="000000"/>
          <w:sz w:val="28"/>
          <w:szCs w:val="28"/>
        </w:rPr>
        <w:t>《绍兴市柯桥区招标代理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中介</w:t>
      </w:r>
      <w:r>
        <w:rPr>
          <w:rFonts w:ascii="宋体" w:hAnsi="宋体" w:eastAsia="宋体" w:cs="宋体"/>
          <w:color w:val="000000"/>
          <w:sz w:val="28"/>
          <w:szCs w:val="28"/>
        </w:rPr>
        <w:t>机构管理暂行办法》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和《20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年度绍兴市柯桥区招标代理机构考核细则》，现将有关事项通知如下：</w:t>
      </w:r>
    </w:p>
    <w:p>
      <w:pPr>
        <w:adjustRightInd/>
        <w:snapToGrid/>
        <w:spacing w:after="0" w:line="52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一、考核内容：详见《20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年度绍兴市柯桥区招标代理机构考核细则》。</w:t>
      </w:r>
    </w:p>
    <w:p>
      <w:pPr>
        <w:adjustRightInd/>
        <w:snapToGrid/>
        <w:spacing w:after="0" w:line="52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二、考核对象：20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年度在我区备案的且有柯桥区范围内代理业绩（不包括</w:t>
      </w:r>
      <w:r>
        <w:rPr>
          <w:rFonts w:hint="eastAsia" w:ascii="宋体" w:hAnsi="宋体" w:eastAsia="宋体" w:cs="宋体"/>
          <w:sz w:val="28"/>
          <w:szCs w:val="28"/>
        </w:rPr>
        <w:t>民营投资占主导地位的邀请招标项目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）的招标代理机构。</w:t>
      </w:r>
    </w:p>
    <w:p>
      <w:pPr>
        <w:adjustRightInd/>
        <w:snapToGrid/>
        <w:spacing w:after="0" w:line="52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三、考核方法：按项目考评与综合考评两部分进行，合计得分为该代理机构年度考核最终得分，并以此为基础评定星级。</w:t>
      </w:r>
    </w:p>
    <w:p>
      <w:pPr>
        <w:adjustRightInd/>
        <w:snapToGrid/>
        <w:spacing w:after="0"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项目考评已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在平时工作中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进行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考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。综合考评中的场地人员、代理业绩、社会评价中的先进荣誉部分，由代理机构进行自评，证明材料以复印件盖单位公章</w:t>
      </w:r>
      <w:r>
        <w:rPr>
          <w:rFonts w:ascii="宋体" w:hAnsi="宋体" w:eastAsia="宋体" w:cs="宋体"/>
          <w:color w:val="000000"/>
          <w:sz w:val="28"/>
          <w:szCs w:val="28"/>
        </w:rPr>
        <w:t>装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订成册交到监督科。限额以下招标人评价由监督科提供；限额以上招标人评价，由建设工程交易科、政府采购服务科分别收集提供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adjustRightInd/>
        <w:snapToGrid/>
        <w:spacing w:after="0" w:line="520" w:lineRule="exact"/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限额以下代理质量通过每季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度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随机抽查代理项目的档案资料，根据相关招标采购管理规定，组织专业人员对招标文件、操作程序、档案资料等进行检查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打分；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第四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季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度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随机抽查档案资料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具体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项目及提交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时间在招标代理机构群（623238718）中另行通知。</w:t>
      </w:r>
    </w:p>
    <w:p>
      <w:pPr>
        <w:numPr>
          <w:ilvl w:val="0"/>
          <w:numId w:val="1"/>
        </w:numPr>
        <w:adjustRightInd/>
        <w:snapToGrid/>
        <w:spacing w:after="0"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有关要求：各代理机构要高度重视代理考核工作，指定专人负责，如实填报表格，并准备好相关资料原件，以备抽查。同时各代理机构应在20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度考核细则的基础上，按照有利于促进行业发展、有利于企业诚实守信、有利于提高业务水平、有利于奖优惩劣的原则，提出2020年度考核细则的修订意见。将附表（一至六）和相关证明材料复印件及修订意见盖单位公章按顺序装订成册，于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年1月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日前送交监督科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另将附件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承诺书签字盖章后上传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至区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交易中心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系统（国泰）信息库的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附件资料中。</w:t>
      </w:r>
    </w:p>
    <w:p>
      <w:pPr>
        <w:adjustRightInd/>
        <w:snapToGrid/>
        <w:spacing w:after="0" w:line="52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、考核结果将在绍兴市柯桥区公共资源交易中心网站公布。如有不明事宜，请联系区公管办监督科，电话：84138502、84130780。</w:t>
      </w:r>
    </w:p>
    <w:p>
      <w:pPr>
        <w:adjustRightInd/>
        <w:snapToGrid/>
        <w:spacing w:after="0" w:line="520" w:lineRule="exact"/>
        <w:ind w:firstLine="562" w:firstLineChars="200"/>
        <w:rPr>
          <w:rFonts w:ascii="宋体" w:hAnsi="宋体" w:eastAsia="宋体" w:cs="宋体"/>
          <w:b/>
          <w:color w:val="000000"/>
          <w:sz w:val="28"/>
          <w:szCs w:val="28"/>
        </w:rPr>
      </w:pPr>
    </w:p>
    <w:p>
      <w:pPr>
        <w:adjustRightInd/>
        <w:snapToGrid/>
        <w:spacing w:after="0" w:line="52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520" w:lineRule="exac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520" w:lineRule="exact"/>
        <w:jc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绍兴市柯桥区公共资源交易管理委员会办公室</w:t>
      </w:r>
    </w:p>
    <w:p>
      <w:pPr>
        <w:adjustRightInd/>
        <w:snapToGrid/>
        <w:spacing w:after="0" w:line="520" w:lineRule="exact"/>
        <w:jc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绍兴市柯桥区公共资源交易中心</w:t>
      </w:r>
    </w:p>
    <w:p>
      <w:pPr>
        <w:adjustRightInd/>
        <w:snapToGrid/>
        <w:spacing w:after="0" w:line="520" w:lineRule="exact"/>
        <w:jc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年12月2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p>
      <w:pPr>
        <w:adjustRightInd/>
        <w:snapToGrid/>
        <w:spacing w:after="0" w:line="520" w:lineRule="exact"/>
        <w:ind w:right="720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520" w:lineRule="exact"/>
        <w:ind w:right="72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附表一：20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年度绍兴市柯桥区招标代理机构考核表(自评表） </w:t>
      </w:r>
    </w:p>
    <w:p>
      <w:pPr>
        <w:adjustRightInd/>
        <w:snapToGrid/>
        <w:spacing w:after="0" w:line="520" w:lineRule="exact"/>
        <w:ind w:right="72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附表二：20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年度代理项目汇总表（限额以上项目）</w:t>
      </w:r>
    </w:p>
    <w:p>
      <w:pPr>
        <w:adjustRightInd/>
        <w:snapToGrid/>
        <w:spacing w:after="0" w:line="520" w:lineRule="exact"/>
        <w:ind w:right="72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附表三：20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年度代理项目汇总表（限额以下项目）</w:t>
      </w:r>
    </w:p>
    <w:p>
      <w:pPr>
        <w:adjustRightInd/>
        <w:snapToGrid/>
        <w:spacing w:after="0" w:line="520" w:lineRule="exact"/>
        <w:ind w:right="72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附表四：20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年度荣誉汇总表</w:t>
      </w:r>
    </w:p>
    <w:p>
      <w:pPr>
        <w:adjustRightInd/>
        <w:snapToGrid/>
        <w:spacing w:after="0" w:line="520" w:lineRule="exact"/>
        <w:ind w:right="72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附表五：20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年度代理机构人员备案登记表</w:t>
      </w:r>
    </w:p>
    <w:p>
      <w:pPr>
        <w:adjustRightInd/>
        <w:snapToGrid/>
        <w:spacing w:after="0" w:line="520" w:lineRule="exact"/>
        <w:ind w:right="72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附表六：202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年度考核细则修订建议</w:t>
      </w:r>
    </w:p>
    <w:p>
      <w:pPr>
        <w:adjustRightInd/>
        <w:snapToGrid/>
        <w:spacing w:after="0" w:line="520" w:lineRule="exact"/>
        <w:ind w:right="720"/>
        <w:rPr>
          <w:rFonts w:ascii="宋体" w:hAnsi="宋体" w:eastAsia="宋体" w:cs="宋体"/>
          <w:color w:val="000000"/>
          <w:sz w:val="24"/>
          <w:szCs w:val="24"/>
        </w:rPr>
        <w:sectPr>
          <w:pgSz w:w="12240" w:h="15840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：承诺书</w:t>
      </w:r>
    </w:p>
    <w:p>
      <w:pPr>
        <w:adjustRightInd/>
        <w:snapToGrid/>
        <w:spacing w:after="0" w:line="0" w:lineRule="atLeast"/>
        <w:rPr>
          <w:rFonts w:cs="Arial" w:asciiTheme="majorEastAsia" w:hAnsiTheme="majorEastAsia" w:eastAsiaTheme="majorEastAsia"/>
          <w:b/>
          <w:bCs/>
          <w:color w:val="000000"/>
          <w:sz w:val="24"/>
          <w:szCs w:val="24"/>
        </w:rPr>
      </w:pPr>
      <w:r>
        <w:rPr>
          <w:rFonts w:ascii="宋体" w:hAnsi="宋体" w:eastAsia="宋体" w:cs="Arial"/>
          <w:sz w:val="28"/>
          <w:szCs w:val="28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 xml:space="preserve">附表一：           </w:t>
      </w:r>
      <w:r>
        <w:rPr>
          <w:rFonts w:hint="eastAsia" w:cs="宋体" w:asciiTheme="minorHAnsi" w:hAnsiTheme="minorHAnsi" w:eastAsiaTheme="minorEastAsia"/>
          <w:color w:val="585858"/>
          <w:sz w:val="21"/>
          <w:szCs w:val="21"/>
        </w:rPr>
        <w:t xml:space="preserve">                                  </w:t>
      </w:r>
      <w:r>
        <w:rPr>
          <w:rFonts w:hint="eastAsia" w:cs="宋体" w:asciiTheme="minorHAnsi" w:hAnsiTheme="minorHAnsi" w:eastAsiaTheme="minorEastAsia"/>
          <w:color w:val="585858"/>
          <w:sz w:val="30"/>
          <w:szCs w:val="30"/>
        </w:rPr>
        <w:t xml:space="preserve">  </w:t>
      </w:r>
      <w:r>
        <w:rPr>
          <w:rFonts w:hint="eastAsia" w:cs="Arial" w:asciiTheme="majorEastAsia" w:hAnsiTheme="majorEastAsia" w:eastAsiaTheme="majorEastAsia"/>
          <w:b/>
          <w:bCs/>
          <w:color w:val="000000"/>
          <w:sz w:val="30"/>
          <w:szCs w:val="30"/>
        </w:rPr>
        <w:t>20</w:t>
      </w:r>
      <w:r>
        <w:rPr>
          <w:rFonts w:hint="eastAsia" w:cs="Arial" w:asciiTheme="majorEastAsia" w:hAnsiTheme="majorEastAsia" w:eastAsiaTheme="majorEastAsia"/>
          <w:b/>
          <w:bCs/>
          <w:color w:val="000000"/>
          <w:sz w:val="30"/>
          <w:szCs w:val="30"/>
          <w:lang w:eastAsia="zh-CN"/>
        </w:rPr>
        <w:t>20</w:t>
      </w:r>
      <w:r>
        <w:rPr>
          <w:rFonts w:hint="eastAsia" w:cs="Arial" w:asciiTheme="majorEastAsia" w:hAnsiTheme="majorEastAsia" w:eastAsiaTheme="majorEastAsia"/>
          <w:b/>
          <w:bCs/>
          <w:color w:val="000000"/>
          <w:sz w:val="30"/>
          <w:szCs w:val="30"/>
        </w:rPr>
        <w:t>年度绍兴市柯桥区招标代理机构考核表(自评表）</w:t>
      </w:r>
    </w:p>
    <w:p>
      <w:pPr>
        <w:adjustRightInd/>
        <w:snapToGrid/>
        <w:spacing w:after="0" w:line="0" w:lineRule="atLeast"/>
        <w:rPr>
          <w:rFonts w:ascii="Arial" w:hAnsi="Arial" w:eastAsia="宋体" w:cs="Arial"/>
          <w:color w:val="585858"/>
          <w:sz w:val="21"/>
          <w:szCs w:val="21"/>
        </w:rPr>
      </w:pP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"/>
        <w:gridCol w:w="1121"/>
        <w:gridCol w:w="620"/>
        <w:gridCol w:w="9619"/>
        <w:gridCol w:w="1312"/>
        <w:gridCol w:w="1175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969" w:type="pct"/>
          <w:trHeight w:val="302" w:hRule="atLeast"/>
        </w:trPr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99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20" w:lineRule="exact"/>
              <w:rPr>
                <w:rFonts w:cs="Arial" w:asciiTheme="majorEastAsia" w:hAnsiTheme="majorEastAsia" w:eastAsiaTheme="majorEastAsia"/>
                <w:b/>
                <w:bCs/>
                <w:color w:val="000000"/>
                <w:sz w:val="18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sz w:val="18"/>
              </w:rPr>
              <w:t>附表（一至六）和相关证明材料复印件及修订意见盖单位公章按顺序装订成册，于202</w:t>
            </w: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sz w:val="18"/>
                <w:lang w:val="en-US" w:eastAsia="zh-CN"/>
              </w:rPr>
              <w:t>1</w:t>
            </w: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sz w:val="18"/>
              </w:rPr>
              <w:t>年1月</w:t>
            </w: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sz w:val="18"/>
                <w:lang w:val="en-US" w:eastAsia="zh-CN"/>
              </w:rPr>
              <w:t>5</w:t>
            </w: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sz w:val="18"/>
              </w:rPr>
              <w:t>日前送交监督科。</w:t>
            </w:r>
          </w:p>
          <w:p>
            <w:pPr>
              <w:adjustRightInd/>
              <w:snapToGrid/>
              <w:spacing w:after="0" w:line="0" w:lineRule="atLeast"/>
              <w:rPr>
                <w:rFonts w:cs="Arial" w:asciiTheme="majorEastAsia" w:hAnsiTheme="majorEastAsia" w:eastAsiaTheme="majorEastAsia"/>
                <w:b/>
                <w:bCs/>
                <w:color w:val="000000"/>
                <w:sz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3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sz w:val="18"/>
              </w:rPr>
              <w:t>考核项目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sz w:val="18"/>
              </w:rPr>
              <w:t>分值</w:t>
            </w:r>
          </w:p>
        </w:tc>
        <w:tc>
          <w:tcPr>
            <w:tcW w:w="3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sz w:val="18"/>
              </w:rPr>
              <w:t>考核要点及评分标准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sz w:val="18"/>
              </w:rPr>
              <w:t>自评分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Arial" w:asciiTheme="majorEastAsia" w:hAnsiTheme="majorEastAsia" w:eastAsiaTheme="maj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32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0"/>
                <w:szCs w:val="20"/>
              </w:rPr>
              <w:t>1.办公场地</w:t>
            </w:r>
          </w:p>
        </w:tc>
        <w:tc>
          <w:tcPr>
            <w:tcW w:w="22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hint="eastAsia" w:cs="宋体" w:asciiTheme="majorEastAsia" w:hAnsiTheme="majorEastAsia" w:eastAsiaTheme="maj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44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both"/>
              <w:rPr>
                <w:rFonts w:hint="eastAsia" w:eastAsia="宋体" w:cs="宋体" w:ascii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</w:rPr>
              <w:t>本项起评分0分，最高得3分。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具备独立办公场所和从事代理业务所必需的办公条件的，得1分，不具备的，得0分；具有固定且符合相关标准的电子化开标室、评标室的，得2分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需提供相关证明材料，如房产证、租房合同、场地照片等资料复印件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7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3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34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cs="Arial" w:asciiTheme="majorEastAsia" w:hAnsiTheme="majorEastAsia" w:eastAsiaTheme="majorEastAsia"/>
                <w:b/>
                <w:bCs/>
                <w:color w:val="000000"/>
                <w:sz w:val="20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43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34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cs="Arial" w:asciiTheme="majorEastAsia" w:hAnsiTheme="majorEastAsia" w:eastAsiaTheme="majorEastAsia"/>
                <w:b/>
                <w:bCs/>
                <w:color w:val="000000"/>
                <w:sz w:val="20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32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0"/>
                <w:szCs w:val="20"/>
              </w:rPr>
              <w:t>2.工作人员</w:t>
            </w:r>
          </w:p>
        </w:tc>
        <w:tc>
          <w:tcPr>
            <w:tcW w:w="22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4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both"/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</w:rPr>
              <w:t>本项起评分0分，最高得3分。</w:t>
            </w:r>
          </w:p>
          <w:p>
            <w:pPr>
              <w:spacing w:after="0" w:line="0" w:lineRule="atLeas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1、备案人员达到5人，且均具备上岗证的，得0.4分；每增加1人且具备上岗证的加0.2分，该项目最多得1分；</w:t>
            </w:r>
          </w:p>
          <w:p>
            <w:pPr>
              <w:spacing w:after="0" w:line="0" w:lineRule="atLeas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2、按要求参加区公管办（交易中心）各类业务培训的，得1分。未按要求参加的，本项为0分；（以参加培训的签到为准）；</w:t>
            </w:r>
          </w:p>
          <w:p>
            <w:pPr>
              <w:spacing w:after="0" w:line="0" w:lineRule="atLeast"/>
              <w:jc w:val="both"/>
              <w:rPr>
                <w:rFonts w:eastAsia="宋体" w:cs="宋体" w:ascii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3、备案人员参加其他行政部门与招标代理有关的业务培训的，每人次得0.2分（提供举办培训活动的单位证明原件或网上公示），本项最多得1分。</w:t>
            </w:r>
          </w:p>
        </w:tc>
        <w:tc>
          <w:tcPr>
            <w:tcW w:w="47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3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34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43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34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32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0"/>
                <w:szCs w:val="20"/>
              </w:rPr>
              <w:t>3.限额以上代理业绩</w:t>
            </w:r>
          </w:p>
        </w:tc>
        <w:tc>
          <w:tcPr>
            <w:tcW w:w="22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cs="宋体" w:asciiTheme="majorEastAsia" w:hAnsiTheme="majorEastAsia" w:eastAsiaTheme="maj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0"/>
                <w:szCs w:val="20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44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</w:rPr>
              <w:t>本项起评分0分，最高得1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</w:rPr>
              <w:t>分。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每代理一只项目得0.3分；本项最多得12分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7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auto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auto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cs="Arial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3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hint="eastAsia" w:ascii="仿宋_GB2312" w:hAnsi="ˎ̥" w:eastAsia="仿宋_GB2312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3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hint="eastAsia" w:ascii="仿宋_GB2312" w:hAnsi="ˎ̥" w:eastAsia="仿宋_GB2312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3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3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宋体"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0"/>
                <w:szCs w:val="20"/>
              </w:rPr>
              <w:t>4.限额以下代理业绩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</w:rPr>
              <w:t>本项起评分0分，最高得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</w:rPr>
              <w:t>分。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代理一只项目得0.12分；本项最多得6分。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3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5.先进荣誉</w:t>
            </w:r>
          </w:p>
        </w:tc>
        <w:tc>
          <w:tcPr>
            <w:tcW w:w="2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</w:t>
            </w:r>
          </w:p>
        </w:tc>
        <w:tc>
          <w:tcPr>
            <w:tcW w:w="3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0"/>
                <w:szCs w:val="20"/>
              </w:rPr>
              <w:t>本项起评分0分，最高得2分。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1、考核年度内获得县区级或市级先进荣誉的，单位获奖加0.5分，个人获奖加0.25分；</w:t>
            </w:r>
          </w:p>
          <w:p>
            <w:pPr>
              <w:spacing w:after="0"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2、考核年度内获得省级及以上先进荣誉的，单位获奖加1分，个人获奖加0.5分。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101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合计（最高2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分）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both"/>
              <w:rPr>
                <w:rFonts w:hint="eastAsia" w:ascii="ˎ̥" w:hAnsi="ˎ̥" w:eastAsia="宋体" w:cs="Arial"/>
                <w:color w:val="000000"/>
                <w:sz w:val="18"/>
                <w:szCs w:val="18"/>
              </w:rPr>
            </w:pPr>
          </w:p>
        </w:tc>
      </w:tr>
    </w:tbl>
    <w:p>
      <w:pPr>
        <w:adjustRightInd/>
        <w:snapToGrid/>
        <w:spacing w:after="0" w:line="360" w:lineRule="auto"/>
        <w:rPr>
          <w:rFonts w:ascii="Arial" w:hAnsi="Arial" w:eastAsia="宋体" w:cs="Arial"/>
          <w:sz w:val="21"/>
          <w:szCs w:val="21"/>
        </w:rPr>
      </w:pPr>
    </w:p>
    <w:p>
      <w:pPr>
        <w:adjustRightInd/>
        <w:snapToGrid/>
        <w:spacing w:after="0" w:line="360" w:lineRule="auto"/>
        <w:rPr>
          <w:rFonts w:ascii="Arial" w:hAnsi="Arial" w:eastAsia="宋体" w:cs="Arial"/>
          <w:sz w:val="21"/>
          <w:szCs w:val="21"/>
        </w:rPr>
      </w:pPr>
    </w:p>
    <w:p>
      <w:pPr>
        <w:adjustRightInd/>
        <w:snapToGrid/>
        <w:spacing w:after="0" w:line="360" w:lineRule="auto"/>
        <w:rPr>
          <w:rFonts w:ascii="Arial" w:hAnsi="Arial" w:eastAsia="宋体" w:cs="Arial"/>
          <w:sz w:val="21"/>
          <w:szCs w:val="21"/>
        </w:rPr>
      </w:pPr>
    </w:p>
    <w:p>
      <w:pPr>
        <w:adjustRightInd/>
        <w:snapToGrid/>
        <w:spacing w:after="0" w:line="360" w:lineRule="auto"/>
        <w:rPr>
          <w:rFonts w:ascii="Arial" w:hAnsi="Arial" w:eastAsia="宋体" w:cs="Arial"/>
          <w:sz w:val="21"/>
          <w:szCs w:val="21"/>
        </w:rPr>
      </w:pPr>
      <w:r>
        <w:rPr>
          <w:rFonts w:hint="eastAsia" w:ascii="Arial" w:hAnsi="Arial" w:eastAsia="宋体" w:cs="Arial"/>
          <w:sz w:val="21"/>
          <w:szCs w:val="21"/>
        </w:rPr>
        <w:t>附表二：</w:t>
      </w:r>
    </w:p>
    <w:p>
      <w:pPr>
        <w:adjustRightInd/>
        <w:snapToGrid/>
        <w:spacing w:after="0" w:line="0" w:lineRule="atLeast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年度代理项目汇总表（限额以上项目）</w:t>
      </w:r>
    </w:p>
    <w:p>
      <w:pPr>
        <w:adjustRightInd/>
        <w:snapToGrid/>
        <w:spacing w:after="0" w:line="0" w:lineRule="atLeast"/>
        <w:ind w:firstLine="600" w:firstLineChars="250"/>
        <w:rPr>
          <w:rFonts w:ascii="宋体" w:hAnsi="宋体" w:eastAsia="宋体" w:cs="宋体"/>
          <w:color w:val="585858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填报单位（公章）：                                                       填报人：        联系电话：</w:t>
      </w:r>
    </w:p>
    <w:tbl>
      <w:tblPr>
        <w:tblStyle w:val="5"/>
        <w:tblW w:w="493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3888"/>
        <w:gridCol w:w="11"/>
        <w:gridCol w:w="4250"/>
        <w:gridCol w:w="1414"/>
        <w:gridCol w:w="1703"/>
        <w:gridCol w:w="1134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代理项目名称</w:t>
            </w:r>
          </w:p>
        </w:tc>
        <w:tc>
          <w:tcPr>
            <w:tcW w:w="1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招标文件编号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项目受理时间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代理项目合计：             项</w:t>
            </w:r>
          </w:p>
        </w:tc>
        <w:tc>
          <w:tcPr>
            <w:tcW w:w="334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0" w:lineRule="atLeast"/>
              <w:ind w:firstLine="120" w:firstLineChars="5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代理业绩得分：</w:t>
            </w:r>
          </w:p>
        </w:tc>
      </w:tr>
    </w:tbl>
    <w:p>
      <w:pPr>
        <w:adjustRightInd/>
        <w:snapToGrid/>
        <w:spacing w:after="0" w:line="0" w:lineRule="atLeast"/>
        <w:ind w:firstLine="266" w:firstLineChars="147"/>
        <w:rPr>
          <w:rFonts w:ascii="宋体" w:hAnsi="宋体" w:eastAsia="宋体" w:cs="Arial"/>
          <w:b/>
          <w:bCs/>
          <w:color w:val="00000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color w:val="000000"/>
          <w:sz w:val="18"/>
          <w:szCs w:val="18"/>
        </w:rPr>
        <w:t>注： 建设工程和政府采购项目分开填写，并标注“建设工程项目”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  <w:lang w:eastAsia="zh-CN"/>
        </w:rPr>
        <w:t>、“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</w:rPr>
        <w:t>政府采购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  <w:lang w:eastAsia="zh-CN"/>
        </w:rPr>
        <w:t>老系统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</w:rPr>
        <w:t>项目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  <w:lang w:eastAsia="zh-CN"/>
        </w:rPr>
        <w:t>”</w:t>
      </w:r>
      <w:r>
        <w:rPr>
          <w:rFonts w:ascii="宋体" w:hAnsi="宋体" w:eastAsia="宋体" w:cs="Arial"/>
          <w:b/>
          <w:bCs/>
          <w:color w:val="000000"/>
          <w:sz w:val="18"/>
          <w:szCs w:val="18"/>
        </w:rPr>
        <w:t>”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</w:rPr>
        <w:t>或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  <w:lang w:eastAsia="zh-CN"/>
        </w:rPr>
        <w:t>“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</w:rPr>
        <w:t>政府采购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  <w:lang w:eastAsia="zh-CN"/>
        </w:rPr>
        <w:t>政采云（政企云）项目”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</w:rPr>
        <w:t>，完成情况填“完成”或“进行”，代理业绩得分按附表一中的计算规则计算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  <w:lang w:eastAsia="zh-CN"/>
        </w:rPr>
        <w:t>；业绩均需录入代理考核系统内，截止时间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  <w:lang w:val="en-US" w:eastAsia="zh-CN"/>
        </w:rPr>
        <w:t>2020年12月31日，未录入的项目不计入业绩，提供资料时请提供截图。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</w:rPr>
        <w:t xml:space="preserve">                           </w:t>
      </w:r>
    </w:p>
    <w:tbl>
      <w:tblPr>
        <w:tblStyle w:val="5"/>
        <w:tblW w:w="493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3298"/>
        <w:gridCol w:w="2515"/>
        <w:gridCol w:w="2669"/>
        <w:gridCol w:w="2358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after="0" w:line="0" w:lineRule="atLeast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填报日期：    年   月   日</w:t>
            </w:r>
          </w:p>
          <w:p>
            <w:pPr>
              <w:spacing w:after="0" w:line="0" w:lineRule="atLeas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附表三：</w:t>
            </w:r>
          </w:p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年度代理项目汇总表（限额以下项目）</w:t>
            </w:r>
          </w:p>
          <w:p>
            <w:pPr>
              <w:adjustRightInd/>
              <w:snapToGrid/>
              <w:spacing w:after="0" w:line="0" w:lineRule="atLeast"/>
              <w:ind w:firstLine="600" w:firstLineChars="250"/>
              <w:rPr>
                <w:rFonts w:ascii="宋体" w:hAnsi="宋体" w:eastAsia="宋体" w:cs="宋体"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填报单位（公章）：                                                   填报人：         联系电话：</w:t>
            </w:r>
          </w:p>
          <w:tbl>
            <w:tblPr>
              <w:tblStyle w:val="5"/>
              <w:tblW w:w="4939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5"/>
              <w:gridCol w:w="3385"/>
              <w:gridCol w:w="3546"/>
              <w:gridCol w:w="1277"/>
              <w:gridCol w:w="1702"/>
              <w:gridCol w:w="994"/>
              <w:gridCol w:w="709"/>
              <w:gridCol w:w="12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2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4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代理项目名称</w:t>
                  </w:r>
                </w:p>
              </w:tc>
              <w:tc>
                <w:tcPr>
                  <w:tcW w:w="1301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建设单位</w:t>
                  </w:r>
                </w:p>
              </w:tc>
              <w:tc>
                <w:tcPr>
                  <w:tcW w:w="46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招标方式</w:t>
                  </w:r>
                </w:p>
              </w:tc>
              <w:tc>
                <w:tcPr>
                  <w:tcW w:w="62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招标文件编号</w:t>
                  </w:r>
                </w:p>
              </w:tc>
              <w:tc>
                <w:tcPr>
                  <w:tcW w:w="36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项目受理时间</w:t>
                  </w:r>
                </w:p>
              </w:tc>
              <w:tc>
                <w:tcPr>
                  <w:tcW w:w="26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完成情况</w:t>
                  </w:r>
                </w:p>
              </w:tc>
              <w:tc>
                <w:tcPr>
                  <w:tcW w:w="469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24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0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24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0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24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0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24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0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24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0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24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0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24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0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2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2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adjustRightInd/>
                    <w:snapToGrid/>
                    <w:spacing w:after="0" w:line="0" w:lineRule="atLeast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0" w:lineRule="atLeast"/>
              <w:ind w:firstLine="531" w:firstLineChars="294"/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</w:rPr>
              <w:t>注：限额以下平台项目和自行组织招标的政采云项目分开填写，并标注“限额以下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  <w:lang w:eastAsia="zh-CN"/>
              </w:rPr>
              <w:t>老系统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</w:rPr>
              <w:t>项目”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</w:rPr>
              <w:t>“限额以下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  <w:lang w:eastAsia="zh-CN"/>
              </w:rPr>
              <w:t>新系统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</w:rPr>
              <w:t>项目”或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</w:rPr>
              <w:t>自行组织招标的政采云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  <w:lang w:eastAsia="zh-CN"/>
              </w:rPr>
              <w:t>（政企云）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</w:rPr>
              <w:t xml:space="preserve">，完成情况填“完成”或“进行”，代理业绩得分按附表一中的计算规则计算。 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  <w:lang w:eastAsia="zh-CN"/>
              </w:rPr>
              <w:t>业绩均需录入代理考核系统内，截止时间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2020年12月31日，未录入的项目不计入业绩，提供资料时请提供截图。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>
            <w:pPr>
              <w:adjustRightInd/>
              <w:snapToGrid/>
              <w:spacing w:after="0"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adjustRightInd/>
              <w:snapToGrid/>
              <w:spacing w:after="0" w:line="0" w:lineRule="atLeast"/>
              <w:ind w:right="108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                  填报日期：    年   月   日</w:t>
            </w:r>
          </w:p>
          <w:p>
            <w:pPr>
              <w:adjustRightInd/>
              <w:snapToGrid/>
              <w:spacing w:after="0" w:line="0" w:lineRule="atLeast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附表四：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               </w:t>
            </w:r>
          </w:p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年度各项荣誉汇总表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ind w:firstLine="600" w:firstLineChars="25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填报单位（公章）：</w:t>
            </w:r>
            <w:r>
              <w:rPr>
                <w:rFonts w:ascii="Calibri" w:hAnsi="Calibri" w:eastAsia="宋体" w:cs="宋体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填报人：</w:t>
            </w:r>
            <w:r>
              <w:rPr>
                <w:rFonts w:ascii="Calibri" w:hAnsi="Calibri" w:eastAsia="宋体" w:cs="宋体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荣誉名称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000000"/>
                <w:sz w:val="24"/>
                <w:szCs w:val="24"/>
              </w:rPr>
              <w:t>颁奖单位</w:t>
            </w:r>
          </w:p>
        </w:tc>
        <w:tc>
          <w:tcPr>
            <w:tcW w:w="9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000000"/>
                <w:sz w:val="24"/>
                <w:szCs w:val="24"/>
              </w:rPr>
              <w:t>颁发时间</w:t>
            </w:r>
          </w:p>
        </w:tc>
        <w:tc>
          <w:tcPr>
            <w:tcW w:w="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6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000000"/>
                <w:sz w:val="24"/>
                <w:szCs w:val="24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HAnsi" w:hAnsiTheme="minorHAnsi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p/>
    <w:p/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附表五：</w:t>
      </w:r>
    </w:p>
    <w:tbl>
      <w:tblPr>
        <w:tblStyle w:val="5"/>
        <w:tblW w:w="1403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68"/>
        <w:gridCol w:w="4961"/>
        <w:gridCol w:w="5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年度招标代理机构人员备案登记表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00" w:firstLineChars="25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填报单位（公章）：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/>
        <w:snapToGrid/>
        <w:spacing w:after="0" w:line="360" w:lineRule="auto"/>
        <w:rPr>
          <w:rFonts w:hint="eastAsia" w:ascii="宋体" w:hAnsi="宋体" w:eastAsia="宋体" w:cs="Arial"/>
          <w:b/>
          <w:bCs/>
          <w:color w:val="000000"/>
          <w:sz w:val="18"/>
          <w:szCs w:val="18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sz w:val="18"/>
          <w:szCs w:val="18"/>
        </w:rPr>
        <w:t>备案人员须提交20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  <w:lang w:eastAsia="zh-CN"/>
        </w:rPr>
        <w:t>20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</w:rPr>
        <w:t>年12月出具的社保证明</w:t>
      </w:r>
      <w:r>
        <w:rPr>
          <w:rFonts w:hint="eastAsia" w:ascii="宋体" w:hAnsi="宋体" w:eastAsia="宋体" w:cs="Arial"/>
          <w:b/>
          <w:bCs/>
          <w:color w:val="000000"/>
          <w:sz w:val="18"/>
          <w:szCs w:val="18"/>
          <w:lang w:eastAsia="zh-CN"/>
        </w:rPr>
        <w:t>，取得上岗证的需在系统内备案。</w:t>
      </w:r>
    </w:p>
    <w:p>
      <w:pPr>
        <w:adjustRightInd/>
        <w:snapToGrid/>
        <w:spacing w:after="0" w:line="360" w:lineRule="auto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adjustRightInd/>
        <w:snapToGrid/>
        <w:spacing w:after="0" w:line="360" w:lineRule="auto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adjustRightInd/>
        <w:snapToGrid/>
        <w:spacing w:after="0" w:line="360" w:lineRule="auto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adjustRightInd/>
        <w:snapToGrid/>
        <w:spacing w:after="0" w:line="36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附表六：</w:t>
      </w:r>
    </w:p>
    <w:p>
      <w:pPr>
        <w:adjustRightInd/>
        <w:snapToGrid/>
        <w:spacing w:after="0" w:line="360" w:lineRule="auto"/>
        <w:jc w:val="center"/>
        <w:rPr>
          <w:rFonts w:cs="宋体"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color w:val="000000"/>
          <w:sz w:val="36"/>
          <w:szCs w:val="36"/>
        </w:rPr>
        <w:t>202</w:t>
      </w:r>
      <w:r>
        <w:rPr>
          <w:rFonts w:hint="eastAsia" w:cs="宋体" w:asciiTheme="minorEastAsia" w:hAnsiTheme="minorEastAsia" w:eastAsiaTheme="minorEastAsia"/>
          <w:color w:val="000000"/>
          <w:sz w:val="36"/>
          <w:szCs w:val="36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36"/>
          <w:szCs w:val="36"/>
        </w:rPr>
        <w:t>年度考核细则修订建议</w:t>
      </w:r>
    </w:p>
    <w:p>
      <w:pPr>
        <w:pStyle w:val="11"/>
        <w:adjustRightInd/>
        <w:snapToGrid/>
        <w:spacing w:after="0" w:line="360" w:lineRule="auto"/>
        <w:ind w:left="361" w:leftChars="164" w:firstLine="360" w:firstLineChars="150"/>
        <w:rPr>
          <w:rFonts w:cs="宋体"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填报单位（公章）：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449"/>
        <w:gridCol w:w="6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01" w:type="dxa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449" w:type="dxa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修订意见</w:t>
            </w:r>
          </w:p>
        </w:tc>
        <w:tc>
          <w:tcPr>
            <w:tcW w:w="6450" w:type="dxa"/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101" w:type="dxa"/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49" w:type="dxa"/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101" w:type="dxa"/>
            <w:tcBorders>
              <w:bottom w:val="single" w:color="auto" w:sz="4" w:space="0"/>
            </w:tcBorders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49" w:type="dxa"/>
            <w:tcBorders>
              <w:bottom w:val="single" w:color="auto" w:sz="4" w:space="0"/>
            </w:tcBorders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bottom w:val="single" w:color="auto" w:sz="4" w:space="0"/>
            </w:tcBorders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101" w:type="dxa"/>
            <w:tcBorders>
              <w:top w:val="single" w:color="auto" w:sz="4" w:space="0"/>
            </w:tcBorders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color="auto" w:sz="4" w:space="0"/>
            </w:tcBorders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color="auto" w:sz="4" w:space="0"/>
            </w:tcBorders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adjustRightInd/>
        <w:snapToGrid/>
        <w:spacing w:after="0" w:line="360" w:lineRule="auto"/>
        <w:ind w:firstLine="360" w:firstLineChars="15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注：表式不够，可自行附页</w:t>
      </w:r>
    </w:p>
    <w:p>
      <w:pPr>
        <w:adjustRightInd/>
        <w:snapToGrid/>
        <w:spacing w:after="0" w:line="360" w:lineRule="auto"/>
        <w:ind w:firstLine="360" w:firstLineChars="150"/>
        <w:rPr>
          <w:rFonts w:ascii="宋体" w:hAnsi="宋体" w:eastAsia="宋体" w:cs="宋体"/>
          <w:color w:val="000000"/>
          <w:sz w:val="24"/>
          <w:szCs w:val="24"/>
        </w:rPr>
        <w:sectPr>
          <w:pgSz w:w="16838" w:h="11906" w:orient="landscape"/>
          <w:pgMar w:top="1134" w:right="1440" w:bottom="1134" w:left="1440" w:header="709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08" w:num="1"/>
          <w:docGrid w:linePitch="360" w:charSpace="0"/>
        </w:sectPr>
      </w:pPr>
    </w:p>
    <w:p>
      <w:pPr>
        <w:adjustRightInd/>
        <w:snapToGrid/>
        <w:spacing w:after="0" w:line="360" w:lineRule="auto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一</w:t>
      </w:r>
    </w:p>
    <w:p>
      <w:pPr>
        <w:adjustRightInd/>
        <w:snapToGrid/>
        <w:spacing w:after="0" w:line="360" w:lineRule="auto"/>
        <w:jc w:val="center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承诺书</w:t>
      </w:r>
    </w:p>
    <w:p>
      <w:pPr>
        <w:adjustRightInd/>
        <w:snapToGrid/>
        <w:spacing w:after="0" w:line="360" w:lineRule="auto"/>
        <w:ind w:firstLine="63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本企业郑重承诺，所提供的一切资料都是真实、有效、合法的，本企业未被人民法院列入失信被执行人名单，所涉及的交易员、备案人员只从事本单位招标代理工作，不在其他单位任职，不从事其他单位的招标代理工作，养老保险有且只有在本单位缴纳，并真实有效，及时更新企业相关入库信息。</w:t>
      </w:r>
    </w:p>
    <w:p>
      <w:pPr>
        <w:adjustRightInd/>
        <w:snapToGrid/>
        <w:spacing w:after="0" w:line="360" w:lineRule="auto"/>
        <w:ind w:firstLine="63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若以上承诺内容虚假或投标前、中、后，有违法违规行为的，愿意承担法律责任和接受监督部门的处理，愿意接受相关行政主管部门作出的处罚，愿意接受绍兴市柯桥区公共资源交易管理委员会办公室、绍兴市柯桥区公共资源交易中心作出的取消中标资格、限制交易、停止交易、市场准入与清出等处理。若有弄虚作假行为的，愿意退出柯桥区招投标市场。</w:t>
      </w:r>
    </w:p>
    <w:p>
      <w:pPr>
        <w:adjustRightInd/>
        <w:snapToGrid/>
        <w:spacing w:after="0" w:line="360" w:lineRule="auto"/>
        <w:ind w:firstLine="630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adjustRightInd/>
        <w:snapToGrid/>
        <w:spacing w:after="0" w:line="360" w:lineRule="auto"/>
        <w:ind w:firstLine="630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adjustRightInd/>
        <w:snapToGrid/>
        <w:spacing w:after="0" w:line="360" w:lineRule="auto"/>
        <w:ind w:firstLine="63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承诺单位（公章）：</w:t>
      </w:r>
    </w:p>
    <w:p>
      <w:pPr>
        <w:adjustRightInd/>
        <w:snapToGrid/>
        <w:spacing w:after="0" w:line="360" w:lineRule="auto"/>
        <w:ind w:firstLine="63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法定代表人签字或盖章：</w:t>
      </w:r>
    </w:p>
    <w:p>
      <w:pPr>
        <w:adjustRightInd/>
        <w:snapToGrid/>
        <w:spacing w:after="0" w:line="360" w:lineRule="auto"/>
        <w:ind w:firstLine="63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年  月  日  </w:t>
      </w:r>
    </w:p>
    <w:p>
      <w:pPr>
        <w:adjustRightInd/>
        <w:snapToGrid/>
        <w:spacing w:after="0" w:line="360" w:lineRule="auto"/>
        <w:rPr>
          <w:rFonts w:ascii="仿宋_GB2312" w:hAnsi="宋体" w:eastAsia="仿宋_GB2312" w:cs="宋体"/>
          <w:color w:val="000000"/>
          <w:sz w:val="32"/>
          <w:szCs w:val="32"/>
        </w:rPr>
      </w:pPr>
    </w:p>
    <w:sectPr>
      <w:pgSz w:w="11906" w:h="16838"/>
      <w:pgMar w:top="1418" w:right="1418" w:bottom="1440" w:left="1418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3AFE25"/>
    <w:multiLevelType w:val="singleLevel"/>
    <w:tmpl w:val="F43AFE2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8"/>
    <w:rsid w:val="00006DDC"/>
    <w:rsid w:val="00011388"/>
    <w:rsid w:val="000134A0"/>
    <w:rsid w:val="00021CF6"/>
    <w:rsid w:val="00021F72"/>
    <w:rsid w:val="0002200D"/>
    <w:rsid w:val="00033ECB"/>
    <w:rsid w:val="00035837"/>
    <w:rsid w:val="00035E2B"/>
    <w:rsid w:val="00041DAE"/>
    <w:rsid w:val="00047F1A"/>
    <w:rsid w:val="0006148A"/>
    <w:rsid w:val="00064304"/>
    <w:rsid w:val="0007375F"/>
    <w:rsid w:val="000769D1"/>
    <w:rsid w:val="00083BAC"/>
    <w:rsid w:val="000913DE"/>
    <w:rsid w:val="000934FF"/>
    <w:rsid w:val="00097B27"/>
    <w:rsid w:val="00097DEB"/>
    <w:rsid w:val="000A323B"/>
    <w:rsid w:val="000A6BB9"/>
    <w:rsid w:val="000B71BA"/>
    <w:rsid w:val="000C480A"/>
    <w:rsid w:val="000D40DA"/>
    <w:rsid w:val="000D587C"/>
    <w:rsid w:val="000E3914"/>
    <w:rsid w:val="000E4426"/>
    <w:rsid w:val="000E5E95"/>
    <w:rsid w:val="000E68FE"/>
    <w:rsid w:val="000F7F87"/>
    <w:rsid w:val="00103FAA"/>
    <w:rsid w:val="00116830"/>
    <w:rsid w:val="0012602E"/>
    <w:rsid w:val="00143B03"/>
    <w:rsid w:val="00146F2A"/>
    <w:rsid w:val="00153D70"/>
    <w:rsid w:val="00161924"/>
    <w:rsid w:val="00161D22"/>
    <w:rsid w:val="00173705"/>
    <w:rsid w:val="00185086"/>
    <w:rsid w:val="00197684"/>
    <w:rsid w:val="001A29B9"/>
    <w:rsid w:val="001B4777"/>
    <w:rsid w:val="001C1D26"/>
    <w:rsid w:val="001C58ED"/>
    <w:rsid w:val="001D6E9E"/>
    <w:rsid w:val="001E1138"/>
    <w:rsid w:val="002017AB"/>
    <w:rsid w:val="00210C2D"/>
    <w:rsid w:val="0021345B"/>
    <w:rsid w:val="00216C01"/>
    <w:rsid w:val="002238AA"/>
    <w:rsid w:val="00241138"/>
    <w:rsid w:val="002418A7"/>
    <w:rsid w:val="00247668"/>
    <w:rsid w:val="00252B9F"/>
    <w:rsid w:val="00255180"/>
    <w:rsid w:val="00256AEB"/>
    <w:rsid w:val="00282C81"/>
    <w:rsid w:val="0029122F"/>
    <w:rsid w:val="002A0237"/>
    <w:rsid w:val="002B7B44"/>
    <w:rsid w:val="002C297E"/>
    <w:rsid w:val="002D3FE0"/>
    <w:rsid w:val="002D6AF6"/>
    <w:rsid w:val="002E4497"/>
    <w:rsid w:val="00300750"/>
    <w:rsid w:val="00323B43"/>
    <w:rsid w:val="003367CD"/>
    <w:rsid w:val="0034135C"/>
    <w:rsid w:val="003535A4"/>
    <w:rsid w:val="0035672D"/>
    <w:rsid w:val="00361B55"/>
    <w:rsid w:val="00364149"/>
    <w:rsid w:val="00372870"/>
    <w:rsid w:val="003847F0"/>
    <w:rsid w:val="00386D5D"/>
    <w:rsid w:val="00387089"/>
    <w:rsid w:val="00392AA7"/>
    <w:rsid w:val="003A07F6"/>
    <w:rsid w:val="003A3150"/>
    <w:rsid w:val="003A43F2"/>
    <w:rsid w:val="003A5EF1"/>
    <w:rsid w:val="003A7682"/>
    <w:rsid w:val="003B1E7D"/>
    <w:rsid w:val="003B2882"/>
    <w:rsid w:val="003B30D6"/>
    <w:rsid w:val="003B4177"/>
    <w:rsid w:val="003C2D5F"/>
    <w:rsid w:val="003C559E"/>
    <w:rsid w:val="003C66A9"/>
    <w:rsid w:val="003D2C25"/>
    <w:rsid w:val="003D37D8"/>
    <w:rsid w:val="003E2BA9"/>
    <w:rsid w:val="003E3BEA"/>
    <w:rsid w:val="003E4B89"/>
    <w:rsid w:val="003F18E7"/>
    <w:rsid w:val="00402FB2"/>
    <w:rsid w:val="0040439E"/>
    <w:rsid w:val="0040659C"/>
    <w:rsid w:val="004157C0"/>
    <w:rsid w:val="0041604B"/>
    <w:rsid w:val="00417BBE"/>
    <w:rsid w:val="0043380A"/>
    <w:rsid w:val="004358AB"/>
    <w:rsid w:val="00445FD9"/>
    <w:rsid w:val="004463C7"/>
    <w:rsid w:val="004603C0"/>
    <w:rsid w:val="0046110D"/>
    <w:rsid w:val="004619E6"/>
    <w:rsid w:val="004718E7"/>
    <w:rsid w:val="00471D87"/>
    <w:rsid w:val="0047242F"/>
    <w:rsid w:val="0047659F"/>
    <w:rsid w:val="00480612"/>
    <w:rsid w:val="00480CC0"/>
    <w:rsid w:val="00480F56"/>
    <w:rsid w:val="00483BB6"/>
    <w:rsid w:val="0048743E"/>
    <w:rsid w:val="00493A85"/>
    <w:rsid w:val="004A1F44"/>
    <w:rsid w:val="004A271C"/>
    <w:rsid w:val="004B1049"/>
    <w:rsid w:val="004B3FCC"/>
    <w:rsid w:val="004B6410"/>
    <w:rsid w:val="004C5F84"/>
    <w:rsid w:val="004C632F"/>
    <w:rsid w:val="004F3DAF"/>
    <w:rsid w:val="0050243B"/>
    <w:rsid w:val="00512C4B"/>
    <w:rsid w:val="00523CB1"/>
    <w:rsid w:val="00524AE1"/>
    <w:rsid w:val="005556CC"/>
    <w:rsid w:val="00564E88"/>
    <w:rsid w:val="005662DC"/>
    <w:rsid w:val="00572E58"/>
    <w:rsid w:val="005748AE"/>
    <w:rsid w:val="00584DA9"/>
    <w:rsid w:val="00592655"/>
    <w:rsid w:val="0059794C"/>
    <w:rsid w:val="005A376C"/>
    <w:rsid w:val="005B5180"/>
    <w:rsid w:val="005B6DF4"/>
    <w:rsid w:val="005B73B7"/>
    <w:rsid w:val="005B7832"/>
    <w:rsid w:val="005D16DA"/>
    <w:rsid w:val="005D5083"/>
    <w:rsid w:val="005D5F70"/>
    <w:rsid w:val="005D62C4"/>
    <w:rsid w:val="005E0C39"/>
    <w:rsid w:val="005E110D"/>
    <w:rsid w:val="005E362E"/>
    <w:rsid w:val="005F549B"/>
    <w:rsid w:val="005F7769"/>
    <w:rsid w:val="00601BD5"/>
    <w:rsid w:val="00605608"/>
    <w:rsid w:val="00610F12"/>
    <w:rsid w:val="006274D3"/>
    <w:rsid w:val="006373ED"/>
    <w:rsid w:val="00637F3F"/>
    <w:rsid w:val="006512EE"/>
    <w:rsid w:val="00655F9F"/>
    <w:rsid w:val="006631CE"/>
    <w:rsid w:val="00675607"/>
    <w:rsid w:val="006766BC"/>
    <w:rsid w:val="006840CC"/>
    <w:rsid w:val="00684B60"/>
    <w:rsid w:val="00686534"/>
    <w:rsid w:val="0069334B"/>
    <w:rsid w:val="00697DA1"/>
    <w:rsid w:val="006A313F"/>
    <w:rsid w:val="006C029C"/>
    <w:rsid w:val="006C4043"/>
    <w:rsid w:val="006C6E3B"/>
    <w:rsid w:val="006D122F"/>
    <w:rsid w:val="006D211F"/>
    <w:rsid w:val="006D4BB6"/>
    <w:rsid w:val="006E353B"/>
    <w:rsid w:val="006E58E3"/>
    <w:rsid w:val="006E672A"/>
    <w:rsid w:val="006E7C85"/>
    <w:rsid w:val="006F44C4"/>
    <w:rsid w:val="006F7DAD"/>
    <w:rsid w:val="00706A36"/>
    <w:rsid w:val="007173BB"/>
    <w:rsid w:val="00732AE2"/>
    <w:rsid w:val="00735E9D"/>
    <w:rsid w:val="007407C3"/>
    <w:rsid w:val="00754A27"/>
    <w:rsid w:val="007622EF"/>
    <w:rsid w:val="007703F1"/>
    <w:rsid w:val="00773F41"/>
    <w:rsid w:val="00774E4A"/>
    <w:rsid w:val="007808E2"/>
    <w:rsid w:val="0078431B"/>
    <w:rsid w:val="0079168D"/>
    <w:rsid w:val="007A08F7"/>
    <w:rsid w:val="007A7A5B"/>
    <w:rsid w:val="007B546F"/>
    <w:rsid w:val="007B709A"/>
    <w:rsid w:val="007C019B"/>
    <w:rsid w:val="007C3CBD"/>
    <w:rsid w:val="007D1E81"/>
    <w:rsid w:val="007D5E0A"/>
    <w:rsid w:val="007D7B96"/>
    <w:rsid w:val="007D7DC9"/>
    <w:rsid w:val="007E2FC9"/>
    <w:rsid w:val="007E36EF"/>
    <w:rsid w:val="007E54EB"/>
    <w:rsid w:val="00800BAE"/>
    <w:rsid w:val="00800C3C"/>
    <w:rsid w:val="00804DC6"/>
    <w:rsid w:val="00817478"/>
    <w:rsid w:val="00830AD1"/>
    <w:rsid w:val="0083199F"/>
    <w:rsid w:val="008326CF"/>
    <w:rsid w:val="00832A19"/>
    <w:rsid w:val="00842338"/>
    <w:rsid w:val="008474F1"/>
    <w:rsid w:val="00863DFE"/>
    <w:rsid w:val="00865D08"/>
    <w:rsid w:val="00865F57"/>
    <w:rsid w:val="0086661E"/>
    <w:rsid w:val="00870CC2"/>
    <w:rsid w:val="00873216"/>
    <w:rsid w:val="00873C66"/>
    <w:rsid w:val="00873E4E"/>
    <w:rsid w:val="00896B47"/>
    <w:rsid w:val="008A26CD"/>
    <w:rsid w:val="008A5B43"/>
    <w:rsid w:val="008A5DF1"/>
    <w:rsid w:val="008B0B13"/>
    <w:rsid w:val="008B4CFB"/>
    <w:rsid w:val="008B5A04"/>
    <w:rsid w:val="008B7726"/>
    <w:rsid w:val="008B7996"/>
    <w:rsid w:val="008C15B9"/>
    <w:rsid w:val="008C446B"/>
    <w:rsid w:val="008E2F9E"/>
    <w:rsid w:val="008E74BB"/>
    <w:rsid w:val="008F664C"/>
    <w:rsid w:val="00904746"/>
    <w:rsid w:val="00911ADD"/>
    <w:rsid w:val="00920556"/>
    <w:rsid w:val="009205BF"/>
    <w:rsid w:val="00921865"/>
    <w:rsid w:val="00925F4D"/>
    <w:rsid w:val="00940425"/>
    <w:rsid w:val="00953FB7"/>
    <w:rsid w:val="00954028"/>
    <w:rsid w:val="009573F7"/>
    <w:rsid w:val="00985645"/>
    <w:rsid w:val="00994EF9"/>
    <w:rsid w:val="009A30CE"/>
    <w:rsid w:val="009A79FE"/>
    <w:rsid w:val="009C73BD"/>
    <w:rsid w:val="009C787B"/>
    <w:rsid w:val="009D3A87"/>
    <w:rsid w:val="009F5670"/>
    <w:rsid w:val="009F6F5E"/>
    <w:rsid w:val="00A03CC5"/>
    <w:rsid w:val="00A11487"/>
    <w:rsid w:val="00A1633A"/>
    <w:rsid w:val="00A17A1A"/>
    <w:rsid w:val="00A234F9"/>
    <w:rsid w:val="00A2531E"/>
    <w:rsid w:val="00A26EE1"/>
    <w:rsid w:val="00A4335E"/>
    <w:rsid w:val="00A4349D"/>
    <w:rsid w:val="00A6034D"/>
    <w:rsid w:val="00A61408"/>
    <w:rsid w:val="00A74C4F"/>
    <w:rsid w:val="00A8595D"/>
    <w:rsid w:val="00A87857"/>
    <w:rsid w:val="00A94360"/>
    <w:rsid w:val="00A95ED9"/>
    <w:rsid w:val="00A968F7"/>
    <w:rsid w:val="00A9736D"/>
    <w:rsid w:val="00AA0EE5"/>
    <w:rsid w:val="00AC4A6C"/>
    <w:rsid w:val="00AC6238"/>
    <w:rsid w:val="00AD76FA"/>
    <w:rsid w:val="00AE01D7"/>
    <w:rsid w:val="00AF6738"/>
    <w:rsid w:val="00B0016E"/>
    <w:rsid w:val="00B14109"/>
    <w:rsid w:val="00B22FCC"/>
    <w:rsid w:val="00B230DA"/>
    <w:rsid w:val="00B2763A"/>
    <w:rsid w:val="00B30974"/>
    <w:rsid w:val="00B32E68"/>
    <w:rsid w:val="00B40B57"/>
    <w:rsid w:val="00B4347E"/>
    <w:rsid w:val="00B5230A"/>
    <w:rsid w:val="00B64844"/>
    <w:rsid w:val="00B64C3B"/>
    <w:rsid w:val="00B8161D"/>
    <w:rsid w:val="00B868CB"/>
    <w:rsid w:val="00B90DBB"/>
    <w:rsid w:val="00B93E57"/>
    <w:rsid w:val="00BA246B"/>
    <w:rsid w:val="00BA6E75"/>
    <w:rsid w:val="00BC1EC3"/>
    <w:rsid w:val="00BC41DE"/>
    <w:rsid w:val="00BC6B7E"/>
    <w:rsid w:val="00BD4231"/>
    <w:rsid w:val="00BE7341"/>
    <w:rsid w:val="00BF47AC"/>
    <w:rsid w:val="00C01920"/>
    <w:rsid w:val="00C0400C"/>
    <w:rsid w:val="00C0590B"/>
    <w:rsid w:val="00C22BB3"/>
    <w:rsid w:val="00C33623"/>
    <w:rsid w:val="00C358AF"/>
    <w:rsid w:val="00C40ABE"/>
    <w:rsid w:val="00C41E18"/>
    <w:rsid w:val="00C73634"/>
    <w:rsid w:val="00C82FC6"/>
    <w:rsid w:val="00C832B9"/>
    <w:rsid w:val="00C95E07"/>
    <w:rsid w:val="00CA7CB5"/>
    <w:rsid w:val="00CD0C7E"/>
    <w:rsid w:val="00CD73CE"/>
    <w:rsid w:val="00CE128C"/>
    <w:rsid w:val="00D02D91"/>
    <w:rsid w:val="00D04D36"/>
    <w:rsid w:val="00D058A9"/>
    <w:rsid w:val="00D072B3"/>
    <w:rsid w:val="00D21D88"/>
    <w:rsid w:val="00D23D0D"/>
    <w:rsid w:val="00D308FA"/>
    <w:rsid w:val="00D326CF"/>
    <w:rsid w:val="00D34494"/>
    <w:rsid w:val="00D34F25"/>
    <w:rsid w:val="00D36665"/>
    <w:rsid w:val="00D36FEA"/>
    <w:rsid w:val="00D37B4F"/>
    <w:rsid w:val="00D47485"/>
    <w:rsid w:val="00D50582"/>
    <w:rsid w:val="00D52AB9"/>
    <w:rsid w:val="00D563E5"/>
    <w:rsid w:val="00D603EB"/>
    <w:rsid w:val="00D61056"/>
    <w:rsid w:val="00D70379"/>
    <w:rsid w:val="00D8660B"/>
    <w:rsid w:val="00D913D1"/>
    <w:rsid w:val="00D91D1E"/>
    <w:rsid w:val="00D96097"/>
    <w:rsid w:val="00DB08FD"/>
    <w:rsid w:val="00DB1832"/>
    <w:rsid w:val="00DD433B"/>
    <w:rsid w:val="00DD7764"/>
    <w:rsid w:val="00DE272D"/>
    <w:rsid w:val="00E03B6E"/>
    <w:rsid w:val="00E14F73"/>
    <w:rsid w:val="00E17E79"/>
    <w:rsid w:val="00E21F71"/>
    <w:rsid w:val="00E350FF"/>
    <w:rsid w:val="00E3592D"/>
    <w:rsid w:val="00E4393D"/>
    <w:rsid w:val="00E50333"/>
    <w:rsid w:val="00E56235"/>
    <w:rsid w:val="00E6593B"/>
    <w:rsid w:val="00E65D78"/>
    <w:rsid w:val="00E73279"/>
    <w:rsid w:val="00E8706D"/>
    <w:rsid w:val="00E970C4"/>
    <w:rsid w:val="00E9748E"/>
    <w:rsid w:val="00EB3051"/>
    <w:rsid w:val="00EB37D5"/>
    <w:rsid w:val="00EC702A"/>
    <w:rsid w:val="00ED151E"/>
    <w:rsid w:val="00EE113B"/>
    <w:rsid w:val="00EE5A15"/>
    <w:rsid w:val="00EF5BE2"/>
    <w:rsid w:val="00F03FBC"/>
    <w:rsid w:val="00F12673"/>
    <w:rsid w:val="00F211D1"/>
    <w:rsid w:val="00F21C51"/>
    <w:rsid w:val="00F24589"/>
    <w:rsid w:val="00F45C33"/>
    <w:rsid w:val="00F55435"/>
    <w:rsid w:val="00F55590"/>
    <w:rsid w:val="00F62C3A"/>
    <w:rsid w:val="00F74498"/>
    <w:rsid w:val="00F75AD0"/>
    <w:rsid w:val="00F80127"/>
    <w:rsid w:val="00F90D4A"/>
    <w:rsid w:val="00F94C4E"/>
    <w:rsid w:val="00FA1A94"/>
    <w:rsid w:val="00FA218D"/>
    <w:rsid w:val="00FA3D7B"/>
    <w:rsid w:val="00FA6A73"/>
    <w:rsid w:val="00FB3F48"/>
    <w:rsid w:val="00FB42B2"/>
    <w:rsid w:val="00FB4AA5"/>
    <w:rsid w:val="00FB6518"/>
    <w:rsid w:val="00FD4A87"/>
    <w:rsid w:val="00FE0C2F"/>
    <w:rsid w:val="00FE15F5"/>
    <w:rsid w:val="00FE5D9A"/>
    <w:rsid w:val="00FE6749"/>
    <w:rsid w:val="00FF066C"/>
    <w:rsid w:val="00FF7743"/>
    <w:rsid w:val="0440107C"/>
    <w:rsid w:val="0550533E"/>
    <w:rsid w:val="05BB43DF"/>
    <w:rsid w:val="0C451CD0"/>
    <w:rsid w:val="0FDC45CF"/>
    <w:rsid w:val="1E297130"/>
    <w:rsid w:val="27F41C85"/>
    <w:rsid w:val="28193DAB"/>
    <w:rsid w:val="2A6B03A9"/>
    <w:rsid w:val="2BB36041"/>
    <w:rsid w:val="30BB262F"/>
    <w:rsid w:val="339A628C"/>
    <w:rsid w:val="38AF1D52"/>
    <w:rsid w:val="3C477D2B"/>
    <w:rsid w:val="40E358D0"/>
    <w:rsid w:val="42B31ACA"/>
    <w:rsid w:val="46A25A68"/>
    <w:rsid w:val="48ED55E2"/>
    <w:rsid w:val="4E321024"/>
    <w:rsid w:val="54CE791E"/>
    <w:rsid w:val="661041AA"/>
    <w:rsid w:val="6B156283"/>
    <w:rsid w:val="6F322E87"/>
    <w:rsid w:val="75A1405D"/>
    <w:rsid w:val="79E20CE0"/>
    <w:rsid w:val="7B8C0AF2"/>
    <w:rsid w:val="7C9658F4"/>
    <w:rsid w:val="7CCF4E4F"/>
    <w:rsid w:val="7DE1522D"/>
    <w:rsid w:val="7EB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78077A-A9A6-44E2-9B14-C98C0FCF9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11</Pages>
  <Words>786</Words>
  <Characters>4483</Characters>
  <Lines>37</Lines>
  <Paragraphs>10</Paragraphs>
  <TotalTime>2</TotalTime>
  <ScaleCrop>false</ScaleCrop>
  <LinksUpToDate>false</LinksUpToDate>
  <CharactersWithSpaces>5259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2015-11-18T01:06:00Z</dcterms:created>
  <dc:creator>USER</dc:creator>
  <cp:lastModifiedBy>Administrator</cp:lastModifiedBy>
  <cp:lastPrinted>2019-12-24T03:23:00Z</cp:lastPrinted>
  <dcterms:modified xsi:type="dcterms:W3CDTF">2020-12-21T02:42:50Z</dcterms:modified>
  <cp:revision>730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